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5" w:rsidRDefault="00D720E5" w:rsidP="00D720E5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63B2105" wp14:editId="656E869E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D720E5" w:rsidRDefault="00D720E5" w:rsidP="00D720E5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D720E5" w:rsidRDefault="00D720E5" w:rsidP="00D720E5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D720E5" w:rsidRDefault="00D720E5" w:rsidP="00D720E5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D720E5" w:rsidRDefault="00D720E5" w:rsidP="00D720E5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D720E5" w:rsidRPr="00C074CC" w:rsidRDefault="00D720E5" w:rsidP="00D720E5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D720E5" w:rsidRPr="00C074CC" w:rsidRDefault="00D720E5" w:rsidP="00D720E5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D720E5" w:rsidRPr="0029201E" w:rsidRDefault="00D720E5" w:rsidP="00D720E5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>“Año de la Diversificación Productiva y del Fortalecimiento de la Educación”</w:t>
      </w:r>
    </w:p>
    <w:p w:rsidR="00D720E5" w:rsidRPr="0029201E" w:rsidRDefault="00D720E5" w:rsidP="00D720E5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Bicentenario de la Gesta Patriótica de Mariano Melgar Valdivieso”</w:t>
      </w:r>
    </w:p>
    <w:p w:rsidR="00D720E5" w:rsidRPr="00C61196" w:rsidRDefault="00D720E5" w:rsidP="00D720E5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D720E5" w:rsidRPr="00D65CDC" w:rsidRDefault="00D720E5" w:rsidP="00D720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047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- 2015/Autoridad Regional Ambiental</w:t>
      </w:r>
    </w:p>
    <w:p w:rsidR="00D720E5" w:rsidRDefault="00D720E5" w:rsidP="00D720E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D720E5" w:rsidRPr="004C30AD" w:rsidRDefault="00EB46A8" w:rsidP="00D720E5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Comité multisectorial </w:t>
      </w:r>
      <w:r w:rsidR="00B24FB1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ARMA, CONREDE, ANA, SEDAPAR, SUNASS, EGASA, AUTODEMA….</w:t>
      </w:r>
    </w:p>
    <w:p w:rsidR="00D720E5" w:rsidRPr="00B439B9" w:rsidRDefault="00EB46A8" w:rsidP="00D720E5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>Presentarán informe técnico “Alternativas de solución a la problemática de la calidad del agua para consumo humano”.</w:t>
      </w:r>
    </w:p>
    <w:p w:rsidR="00D720E5" w:rsidRPr="00BB5AD2" w:rsidRDefault="00B24FB1" w:rsidP="00D720E5">
      <w:pPr>
        <w:spacing w:after="0" w:line="240" w:lineRule="auto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En el Paraninfo de la UNSA a las 11 horas martes 29 de septiembre.</w:t>
      </w:r>
    </w:p>
    <w:p w:rsidR="00D720E5" w:rsidRDefault="00D720E5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5EF6" w:rsidRDefault="0084769A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465EF6">
        <w:rPr>
          <w:rFonts w:ascii="Arial" w:hAnsi="Arial" w:cs="Arial"/>
          <w:sz w:val="24"/>
          <w:szCs w:val="24"/>
          <w:lang w:val="es-ES_tradnl"/>
        </w:rPr>
        <w:t xml:space="preserve">próximo martes 29 de septiembre a las 11:00 horas, en el Paraninfo de la UNSA, sito en Calle San Agustín N° 108-Cercado,  el gerente de la Autoridad Regional Ambiental del GRA, Dr. Zacarías Madariaga </w:t>
      </w:r>
      <w:proofErr w:type="spellStart"/>
      <w:r w:rsidR="00465EF6">
        <w:rPr>
          <w:rFonts w:ascii="Arial" w:hAnsi="Arial" w:cs="Arial"/>
          <w:sz w:val="24"/>
          <w:szCs w:val="24"/>
          <w:lang w:val="es-ES_tradnl"/>
        </w:rPr>
        <w:t>Coaquira</w:t>
      </w:r>
      <w:proofErr w:type="spellEnd"/>
      <w:r w:rsidR="00465EF6">
        <w:rPr>
          <w:rFonts w:ascii="Arial" w:hAnsi="Arial" w:cs="Arial"/>
          <w:sz w:val="24"/>
          <w:szCs w:val="24"/>
          <w:lang w:val="es-ES_tradnl"/>
        </w:rPr>
        <w:t xml:space="preserve">, y el Dr. Teodosio </w:t>
      </w:r>
      <w:proofErr w:type="spellStart"/>
      <w:r w:rsidR="00465EF6">
        <w:rPr>
          <w:rFonts w:ascii="Arial" w:hAnsi="Arial" w:cs="Arial"/>
          <w:sz w:val="24"/>
          <w:szCs w:val="24"/>
          <w:lang w:val="es-ES_tradnl"/>
        </w:rPr>
        <w:t>Serruto</w:t>
      </w:r>
      <w:proofErr w:type="spellEnd"/>
      <w:r w:rsidR="00465EF6">
        <w:rPr>
          <w:rFonts w:ascii="Arial" w:hAnsi="Arial" w:cs="Arial"/>
          <w:sz w:val="24"/>
          <w:szCs w:val="24"/>
          <w:lang w:val="es-ES_tradnl"/>
        </w:rPr>
        <w:t xml:space="preserve"> Huanca, presidente del Consejo Regional de Decanos, </w:t>
      </w:r>
      <w:r>
        <w:rPr>
          <w:rFonts w:ascii="Arial" w:hAnsi="Arial" w:cs="Arial"/>
          <w:sz w:val="24"/>
          <w:szCs w:val="24"/>
          <w:lang w:val="es-ES_tradnl"/>
        </w:rPr>
        <w:t>harán la presentación del Informe técnico denominado “Alternativas de solución a la problemática de la calidad hidrobiológica del agua para el consumo humano de la provincia”</w:t>
      </w:r>
      <w:r w:rsidR="00465EF6">
        <w:rPr>
          <w:rFonts w:ascii="Arial" w:hAnsi="Arial" w:cs="Arial"/>
          <w:sz w:val="24"/>
          <w:szCs w:val="24"/>
          <w:lang w:val="es-ES_tradnl"/>
        </w:rPr>
        <w:t>.</w:t>
      </w:r>
    </w:p>
    <w:p w:rsidR="00465EF6" w:rsidRDefault="00465EF6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D3403" w:rsidRDefault="00354DA7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informe fue elaborado por una Comisión multisectorial, constituido por el </w:t>
      </w:r>
      <w:r w:rsidR="00465EF6">
        <w:rPr>
          <w:rFonts w:ascii="Arial" w:hAnsi="Arial" w:cs="Arial"/>
          <w:sz w:val="24"/>
          <w:szCs w:val="24"/>
          <w:lang w:val="es-ES_tradnl"/>
        </w:rPr>
        <w:t xml:space="preserve">congresista Justiniano </w:t>
      </w:r>
      <w:proofErr w:type="spellStart"/>
      <w:r w:rsidR="00465EF6">
        <w:rPr>
          <w:rFonts w:ascii="Arial" w:hAnsi="Arial" w:cs="Arial"/>
          <w:sz w:val="24"/>
          <w:szCs w:val="24"/>
          <w:lang w:val="es-ES_tradnl"/>
        </w:rPr>
        <w:t>Apaza</w:t>
      </w:r>
      <w:proofErr w:type="spellEnd"/>
      <w:r w:rsidR="00465EF6">
        <w:rPr>
          <w:rFonts w:ascii="Arial" w:hAnsi="Arial" w:cs="Arial"/>
          <w:sz w:val="24"/>
          <w:szCs w:val="24"/>
          <w:lang w:val="es-ES_tradnl"/>
        </w:rPr>
        <w:t xml:space="preserve"> Ordoñez,  presidente d</w:t>
      </w:r>
      <w:r>
        <w:rPr>
          <w:rFonts w:ascii="Arial" w:hAnsi="Arial" w:cs="Arial"/>
          <w:sz w:val="24"/>
          <w:szCs w:val="24"/>
          <w:lang w:val="es-ES_tradnl"/>
        </w:rPr>
        <w:t>e la Co</w:t>
      </w:r>
      <w:r w:rsidR="00465EF6">
        <w:rPr>
          <w:rFonts w:ascii="Arial" w:hAnsi="Arial" w:cs="Arial"/>
          <w:sz w:val="24"/>
          <w:szCs w:val="24"/>
          <w:lang w:val="es-ES_tradnl"/>
        </w:rPr>
        <w:t>misión de Defensa del Consumidor y Organismo reguladores de los servicios públicos del Congreso de la República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D3403">
        <w:rPr>
          <w:rFonts w:ascii="Arial" w:hAnsi="Arial" w:cs="Arial"/>
          <w:sz w:val="24"/>
          <w:szCs w:val="24"/>
          <w:lang w:val="es-ES_tradnl"/>
        </w:rPr>
        <w:t>con la finalidad de asumir propuestas que permitan resolver el problema álgido ocurrido con el deterioro de la calidad del agua potable el año pasado.</w:t>
      </w:r>
    </w:p>
    <w:p w:rsidR="002D3403" w:rsidRDefault="002D3403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720E5" w:rsidRDefault="002D3403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documento detalla la evaluación de las causas que originaron la problemática en perjuicio de la población afectad</w:t>
      </w:r>
      <w:r w:rsidR="004323C5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. Las alternativas de solución a la problemática del abastecimiento del agua potable para el consumo humano en la provincia de Arequipa, bajo estándares de seguridad y calidad. Además las propuestas y acciones urgentes e inmediatas de solución a las instancias competentes. También se elaboró un plan de prevención ante sucesos similares a futuro, entre otros.</w:t>
      </w:r>
    </w:p>
    <w:p w:rsidR="002D3403" w:rsidRDefault="002D3403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D3403" w:rsidRDefault="002D3403" w:rsidP="00D720E5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Mesa regional de trabajo que abordó la problemática del abastecimiento del agua, es presidida por la Autoridad Regional Ambiental del GRA, y tiene como secretario al decano del Consejo Regional de Colegios Profesionales de Arequipa, </w:t>
      </w:r>
      <w:r w:rsidR="008029AF">
        <w:rPr>
          <w:rFonts w:ascii="Arial" w:hAnsi="Arial" w:cs="Arial"/>
          <w:sz w:val="24"/>
          <w:szCs w:val="24"/>
          <w:lang w:val="es-ES_tradnl"/>
        </w:rPr>
        <w:t xml:space="preserve">también la integran </w:t>
      </w:r>
      <w:r>
        <w:rPr>
          <w:rFonts w:ascii="Arial" w:hAnsi="Arial" w:cs="Arial"/>
          <w:sz w:val="24"/>
          <w:szCs w:val="24"/>
          <w:lang w:val="es-ES_tradnl"/>
        </w:rPr>
        <w:t xml:space="preserve">representantes de la Gerencia Regional de Salud, AUTODEMA, Autoridad Nacional del Agua, Autoridad Administrativa del Agua I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Caplina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Ocoña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Secretaría técnica del Consejo de Recursos Hídricos</w:t>
      </w:r>
      <w:r w:rsidR="00EB46A8">
        <w:rPr>
          <w:rFonts w:ascii="Arial" w:hAnsi="Arial" w:cs="Arial"/>
          <w:sz w:val="24"/>
          <w:szCs w:val="24"/>
          <w:lang w:val="es-ES_tradnl"/>
        </w:rPr>
        <w:t xml:space="preserve"> de Cuenca </w:t>
      </w:r>
      <w:proofErr w:type="spellStart"/>
      <w:r w:rsidR="00EB46A8">
        <w:rPr>
          <w:rFonts w:ascii="Arial" w:hAnsi="Arial" w:cs="Arial"/>
          <w:sz w:val="24"/>
          <w:szCs w:val="24"/>
          <w:lang w:val="es-ES_tradnl"/>
        </w:rPr>
        <w:t>Quilca</w:t>
      </w:r>
      <w:proofErr w:type="spellEnd"/>
      <w:r w:rsidR="00EB46A8">
        <w:rPr>
          <w:rFonts w:ascii="Arial" w:hAnsi="Arial" w:cs="Arial"/>
          <w:sz w:val="24"/>
          <w:szCs w:val="24"/>
          <w:lang w:val="es-ES_tradnl"/>
        </w:rPr>
        <w:t xml:space="preserve"> Chili, SUNASS, SEDAPAR S.A., EGASA S.A., Asociación de consumidores y ambientalista de Arequipa Mariano Melgar y en calidad de colaboradores las universidades San Agustín y Católica San Pablo.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720E5" w:rsidRPr="00F738EC" w:rsidRDefault="00D720E5" w:rsidP="00D720E5">
      <w:pPr>
        <w:shd w:val="clear" w:color="auto" w:fill="FFFFFF"/>
        <w:spacing w:after="0" w:line="319" w:lineRule="atLeast"/>
        <w:rPr>
          <w:rFonts w:ascii="Arial" w:hAnsi="Arial" w:cs="Arial"/>
          <w:sz w:val="24"/>
          <w:szCs w:val="24"/>
          <w:lang w:val="es-ES_tradnl"/>
        </w:rPr>
      </w:pPr>
    </w:p>
    <w:p w:rsidR="00D720E5" w:rsidRDefault="00D720E5" w:rsidP="00D720E5">
      <w:pPr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Arequipa,  </w:t>
      </w:r>
      <w:r w:rsidR="00EB46A8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viernes 25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septiembre de 2015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2560BD" w:rsidRDefault="00D720E5" w:rsidP="00EB46A8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sectPr w:rsidR="002560BD" w:rsidSect="0006672D">
      <w:footerReference w:type="default" r:id="rId9"/>
      <w:pgSz w:w="11906" w:h="16838"/>
      <w:pgMar w:top="709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33" w:rsidRDefault="00221633">
      <w:pPr>
        <w:spacing w:after="0" w:line="240" w:lineRule="auto"/>
      </w:pPr>
      <w:r>
        <w:separator/>
      </w:r>
    </w:p>
  </w:endnote>
  <w:endnote w:type="continuationSeparator" w:id="0">
    <w:p w:rsidR="00221633" w:rsidRDefault="0022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4323C5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221633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4323C5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4323C5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4323C5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4323C5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221633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33" w:rsidRDefault="00221633">
      <w:pPr>
        <w:spacing w:after="0" w:line="240" w:lineRule="auto"/>
      </w:pPr>
      <w:r>
        <w:separator/>
      </w:r>
    </w:p>
  </w:footnote>
  <w:footnote w:type="continuationSeparator" w:id="0">
    <w:p w:rsidR="00221633" w:rsidRDefault="0022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9E"/>
    <w:multiLevelType w:val="hybridMultilevel"/>
    <w:tmpl w:val="966EA526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060F8"/>
    <w:multiLevelType w:val="hybridMultilevel"/>
    <w:tmpl w:val="B306775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EFB1A0F"/>
    <w:multiLevelType w:val="hybridMultilevel"/>
    <w:tmpl w:val="CC067D36"/>
    <w:lvl w:ilvl="0" w:tplc="0A1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03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0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6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2C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C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1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4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5D7491"/>
    <w:multiLevelType w:val="hybridMultilevel"/>
    <w:tmpl w:val="CBF4C576"/>
    <w:lvl w:ilvl="0" w:tplc="FE26A92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6CF8FFC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1DD9"/>
    <w:multiLevelType w:val="multilevel"/>
    <w:tmpl w:val="6788689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946AF1"/>
    <w:multiLevelType w:val="hybridMultilevel"/>
    <w:tmpl w:val="CD0845DC"/>
    <w:lvl w:ilvl="0" w:tplc="6D3AB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0F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C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C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0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0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CC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4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5"/>
    <w:rsid w:val="00221633"/>
    <w:rsid w:val="002560BD"/>
    <w:rsid w:val="002D3403"/>
    <w:rsid w:val="00354DA7"/>
    <w:rsid w:val="004323C5"/>
    <w:rsid w:val="00465EF6"/>
    <w:rsid w:val="007749AE"/>
    <w:rsid w:val="008029AF"/>
    <w:rsid w:val="0084769A"/>
    <w:rsid w:val="00B24FB1"/>
    <w:rsid w:val="00D720E5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E5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2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D720E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20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0E5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D720E5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720E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720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aliases w:val="Cuadro 2-1,fuente"/>
    <w:basedOn w:val="Normal"/>
    <w:link w:val="PrrafodelistaCar"/>
    <w:uiPriority w:val="99"/>
    <w:qFormat/>
    <w:rsid w:val="00D720E5"/>
    <w:pPr>
      <w:ind w:left="720"/>
      <w:contextualSpacing/>
    </w:pPr>
    <w:rPr>
      <w:rFonts w:eastAsia="Times New Roman"/>
      <w:lang w:val="es-PE" w:eastAsia="es-PE"/>
    </w:rPr>
  </w:style>
  <w:style w:type="character" w:customStyle="1" w:styleId="PrrafodelistaCar">
    <w:name w:val="Párrafo de lista Car"/>
    <w:aliases w:val="Cuadro 2-1 Car,fuente Car"/>
    <w:link w:val="Prrafodelista"/>
    <w:uiPriority w:val="99"/>
    <w:rsid w:val="00D720E5"/>
    <w:rPr>
      <w:rFonts w:ascii="Calibri" w:eastAsia="Times New Roman" w:hAnsi="Calibri" w:cs="Times New Roman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E5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2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D720E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20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0E5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D720E5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720E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720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aliases w:val="Cuadro 2-1,fuente"/>
    <w:basedOn w:val="Normal"/>
    <w:link w:val="PrrafodelistaCar"/>
    <w:uiPriority w:val="99"/>
    <w:qFormat/>
    <w:rsid w:val="00D720E5"/>
    <w:pPr>
      <w:ind w:left="720"/>
      <w:contextualSpacing/>
    </w:pPr>
    <w:rPr>
      <w:rFonts w:eastAsia="Times New Roman"/>
      <w:lang w:val="es-PE" w:eastAsia="es-PE"/>
    </w:rPr>
  </w:style>
  <w:style w:type="character" w:customStyle="1" w:styleId="PrrafodelistaCar">
    <w:name w:val="Párrafo de lista Car"/>
    <w:aliases w:val="Cuadro 2-1 Car,fuente Car"/>
    <w:link w:val="Prrafodelista"/>
    <w:uiPriority w:val="99"/>
    <w:rsid w:val="00D720E5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2015-09-25T18:41:00Z</dcterms:created>
  <dcterms:modified xsi:type="dcterms:W3CDTF">2015-09-25T18:41:00Z</dcterms:modified>
</cp:coreProperties>
</file>