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9F" w:rsidRDefault="00AB1A9F" w:rsidP="00AB1A9F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</w:pPr>
      <w:bookmarkStart w:id="0" w:name="_GoBack"/>
      <w:bookmarkEnd w:id="0"/>
      <w:r>
        <w:rPr>
          <w:rFonts w:ascii="Bookman Old Style" w:eastAsia="Times New Roman" w:hAnsi="Bookman Old Style"/>
          <w:b/>
          <w:i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B56082C" wp14:editId="0E845927">
            <wp:simplePos x="0" y="0"/>
            <wp:positionH relativeFrom="column">
              <wp:posOffset>2259965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 xml:space="preserve">     </w:t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</w:p>
    <w:p w:rsidR="00AB1A9F" w:rsidRDefault="00AB1A9F" w:rsidP="00AB1A9F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AB1A9F" w:rsidRDefault="00AB1A9F" w:rsidP="00AB1A9F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AB1A9F" w:rsidRDefault="00AB1A9F" w:rsidP="00AB1A9F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</w:t>
      </w:r>
    </w:p>
    <w:p w:rsidR="00AB1A9F" w:rsidRDefault="00AB1A9F" w:rsidP="00AB1A9F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AB1A9F" w:rsidRPr="00C074CC" w:rsidRDefault="00AB1A9F" w:rsidP="00AB1A9F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GOBIERNO REGIONAL AREQUIPA</w:t>
      </w:r>
    </w:p>
    <w:p w:rsidR="00AB1A9F" w:rsidRPr="00C074CC" w:rsidRDefault="00AB1A9F" w:rsidP="00AB1A9F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AB1A9F" w:rsidRPr="0029201E" w:rsidRDefault="00AB1A9F" w:rsidP="00AB1A9F">
      <w:pPr>
        <w:pStyle w:val="Subttulo"/>
        <w:jc w:val="center"/>
        <w:rPr>
          <w:b/>
          <w:color w:val="auto"/>
          <w:sz w:val="18"/>
          <w:szCs w:val="18"/>
        </w:rPr>
      </w:pPr>
      <w:r w:rsidRPr="0029201E">
        <w:rPr>
          <w:b/>
          <w:color w:val="auto"/>
          <w:sz w:val="18"/>
          <w:szCs w:val="18"/>
        </w:rPr>
        <w:t xml:space="preserve">“Año de la </w:t>
      </w:r>
      <w:r>
        <w:rPr>
          <w:b/>
          <w:color w:val="auto"/>
          <w:sz w:val="18"/>
          <w:szCs w:val="18"/>
        </w:rPr>
        <w:t>consolidación del Mar de Grau</w:t>
      </w:r>
      <w:r w:rsidRPr="0029201E">
        <w:rPr>
          <w:b/>
          <w:color w:val="auto"/>
          <w:sz w:val="18"/>
          <w:szCs w:val="18"/>
        </w:rPr>
        <w:t>”</w:t>
      </w:r>
    </w:p>
    <w:p w:rsidR="00AB1A9F" w:rsidRPr="0029201E" w:rsidRDefault="00AB1A9F" w:rsidP="00AB1A9F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  <w:r w:rsidRPr="0029201E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 xml:space="preserve">“Año 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Internacional de las Legumbres</w:t>
      </w:r>
      <w:r w:rsidRPr="0029201E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”</w:t>
      </w:r>
    </w:p>
    <w:p w:rsidR="00AB1A9F" w:rsidRPr="00C61196" w:rsidRDefault="00AB1A9F" w:rsidP="00AB1A9F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</w:p>
    <w:p w:rsidR="00AB1A9F" w:rsidRPr="00D65CDC" w:rsidRDefault="00AB1A9F" w:rsidP="00AB1A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Nota de Prensa Nº  004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- 201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6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/Autoridad Regional Ambiental</w:t>
      </w:r>
    </w:p>
    <w:p w:rsidR="00AB1A9F" w:rsidRPr="003711F8" w:rsidRDefault="00AB1A9F" w:rsidP="00AB1A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PE" w:eastAsia="es-PE"/>
        </w:rPr>
      </w:pPr>
    </w:p>
    <w:p w:rsidR="00AB1A9F" w:rsidRPr="003711F8" w:rsidRDefault="00AB1A9F" w:rsidP="00AB1A9F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28"/>
          <w:szCs w:val="28"/>
          <w:lang w:val="es-PE" w:eastAsia="es-PE"/>
        </w:rPr>
      </w:pPr>
      <w:r w:rsidRPr="003711F8">
        <w:rPr>
          <w:rFonts w:ascii="Agency FB" w:eastAsia="Times New Roman" w:hAnsi="Agency FB" w:cs="Arial"/>
          <w:b/>
          <w:color w:val="000000"/>
          <w:sz w:val="28"/>
          <w:szCs w:val="28"/>
          <w:lang w:val="es-PE" w:eastAsia="es-PE"/>
        </w:rPr>
        <w:t xml:space="preserve"> </w:t>
      </w:r>
      <w:r w:rsidR="00AD7B37">
        <w:rPr>
          <w:rFonts w:ascii="Agency FB" w:eastAsia="Times New Roman" w:hAnsi="Agency FB" w:cs="Arial"/>
          <w:b/>
          <w:color w:val="000000"/>
          <w:sz w:val="28"/>
          <w:szCs w:val="28"/>
          <w:lang w:val="es-PE" w:eastAsia="es-PE"/>
        </w:rPr>
        <w:t>Por accidente de tránsito de empresa FAMESA</w:t>
      </w:r>
      <w:r w:rsidRPr="003711F8">
        <w:rPr>
          <w:rFonts w:ascii="Agency FB" w:eastAsia="Times New Roman" w:hAnsi="Agency FB" w:cs="Arial"/>
          <w:b/>
          <w:color w:val="000000"/>
          <w:sz w:val="28"/>
          <w:szCs w:val="28"/>
          <w:lang w:val="es-PE" w:eastAsia="es-PE"/>
        </w:rPr>
        <w:t xml:space="preserve">                                                                  </w:t>
      </w:r>
    </w:p>
    <w:p w:rsidR="00AB1A9F" w:rsidRPr="00B439B9" w:rsidRDefault="00D26B76" w:rsidP="00AB1A9F">
      <w:pPr>
        <w:spacing w:after="0" w:line="240" w:lineRule="auto"/>
        <w:jc w:val="center"/>
        <w:rPr>
          <w:rFonts w:ascii="Impact" w:hAnsi="Impact" w:cs="Arial"/>
          <w:sz w:val="30"/>
          <w:szCs w:val="30"/>
          <w:lang w:val="es-ES_tradnl"/>
        </w:rPr>
      </w:pPr>
      <w:r>
        <w:rPr>
          <w:rFonts w:ascii="Impact" w:hAnsi="Impact" w:cs="Arial"/>
          <w:sz w:val="30"/>
          <w:szCs w:val="30"/>
          <w:lang w:val="es-ES_tradnl"/>
        </w:rPr>
        <w:t xml:space="preserve">Por volcadura de emulsión matriz en </w:t>
      </w:r>
      <w:proofErr w:type="spellStart"/>
      <w:r>
        <w:rPr>
          <w:rFonts w:ascii="Impact" w:hAnsi="Impact" w:cs="Arial"/>
          <w:sz w:val="30"/>
          <w:szCs w:val="30"/>
          <w:lang w:val="es-ES_tradnl"/>
        </w:rPr>
        <w:t>Imata</w:t>
      </w:r>
      <w:proofErr w:type="spellEnd"/>
      <w:r>
        <w:rPr>
          <w:rFonts w:ascii="Impact" w:hAnsi="Impact" w:cs="Arial"/>
          <w:sz w:val="30"/>
          <w:szCs w:val="30"/>
          <w:lang w:val="es-ES_tradnl"/>
        </w:rPr>
        <w:t xml:space="preserve"> ARMA supervisa </w:t>
      </w:r>
      <w:r w:rsidR="00AD7B37">
        <w:rPr>
          <w:rFonts w:ascii="Impact" w:hAnsi="Impact" w:cs="Arial"/>
          <w:sz w:val="30"/>
          <w:szCs w:val="30"/>
          <w:lang w:val="es-ES_tradnl"/>
        </w:rPr>
        <w:t>probable daño ambiental</w:t>
      </w:r>
    </w:p>
    <w:p w:rsidR="00AB1A9F" w:rsidRPr="004C30AD" w:rsidRDefault="00AD7B37" w:rsidP="00AB1A9F">
      <w:pPr>
        <w:spacing w:after="0" w:line="240" w:lineRule="auto"/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</w:pPr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>El OEFA ya toma muestras</w:t>
      </w:r>
    </w:p>
    <w:p w:rsidR="00AB1A9F" w:rsidRDefault="00AB1A9F" w:rsidP="00AB1A9F">
      <w:pPr>
        <w:shd w:val="clear" w:color="auto" w:fill="FFFFFF"/>
        <w:spacing w:after="0" w:line="319" w:lineRule="atLeast"/>
        <w:jc w:val="both"/>
        <w:rPr>
          <w:rFonts w:ascii="Agency FB" w:hAnsi="Agency FB" w:cs="Arial"/>
          <w:b/>
          <w:sz w:val="28"/>
          <w:szCs w:val="28"/>
          <w:lang w:val="es-ES_tradnl"/>
        </w:rPr>
      </w:pPr>
    </w:p>
    <w:p w:rsidR="00AB1A9F" w:rsidRDefault="00AB1A9F" w:rsidP="00AB1A9F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Ante el reporte de otra volcadura de Emulsión Matriz por accidente de tránsito de la empresa FAMESA EXPLOSIVOS S.A.C., </w:t>
      </w:r>
      <w:r w:rsidR="00B93687">
        <w:rPr>
          <w:rFonts w:ascii="Arial" w:hAnsi="Arial" w:cs="Arial"/>
          <w:sz w:val="24"/>
          <w:szCs w:val="24"/>
          <w:lang w:val="es-ES_tradnl"/>
        </w:rPr>
        <w:t xml:space="preserve">en el </w:t>
      </w:r>
      <w:r>
        <w:rPr>
          <w:rFonts w:ascii="Arial" w:hAnsi="Arial" w:cs="Arial"/>
          <w:sz w:val="24"/>
          <w:szCs w:val="24"/>
          <w:lang w:val="es-ES_tradnl"/>
        </w:rPr>
        <w:t xml:space="preserve">Km 29.6 </w:t>
      </w:r>
      <w:r w:rsidR="00B93687">
        <w:rPr>
          <w:rFonts w:ascii="Arial" w:hAnsi="Arial" w:cs="Arial"/>
          <w:sz w:val="24"/>
          <w:szCs w:val="24"/>
          <w:lang w:val="es-ES_tradnl"/>
        </w:rPr>
        <w:t xml:space="preserve">(a la altura del caserío </w:t>
      </w:r>
      <w:proofErr w:type="spellStart"/>
      <w:r w:rsidR="00B93687">
        <w:rPr>
          <w:rFonts w:ascii="Arial" w:hAnsi="Arial" w:cs="Arial"/>
          <w:sz w:val="24"/>
          <w:szCs w:val="24"/>
          <w:lang w:val="es-ES_tradnl"/>
        </w:rPr>
        <w:t>Ayaraviri</w:t>
      </w:r>
      <w:proofErr w:type="spellEnd"/>
      <w:r w:rsidR="00B93687">
        <w:rPr>
          <w:rFonts w:ascii="Arial" w:hAnsi="Arial" w:cs="Arial"/>
          <w:sz w:val="24"/>
          <w:szCs w:val="24"/>
          <w:lang w:val="es-ES_tradnl"/>
        </w:rPr>
        <w:t xml:space="preserve"> sector de San José de </w:t>
      </w:r>
      <w:proofErr w:type="spellStart"/>
      <w:r w:rsidR="00B93687">
        <w:rPr>
          <w:rFonts w:ascii="Arial" w:hAnsi="Arial" w:cs="Arial"/>
          <w:sz w:val="24"/>
          <w:szCs w:val="24"/>
          <w:lang w:val="es-ES_tradnl"/>
        </w:rPr>
        <w:t>Callalli</w:t>
      </w:r>
      <w:proofErr w:type="spellEnd"/>
      <w:r w:rsidR="00B93687">
        <w:rPr>
          <w:rFonts w:ascii="Arial" w:hAnsi="Arial" w:cs="Arial"/>
          <w:sz w:val="24"/>
          <w:szCs w:val="24"/>
          <w:lang w:val="es-ES_tradnl"/>
        </w:rPr>
        <w:t xml:space="preserve">) </w:t>
      </w:r>
      <w:r>
        <w:rPr>
          <w:rFonts w:ascii="Arial" w:hAnsi="Arial" w:cs="Arial"/>
          <w:sz w:val="24"/>
          <w:szCs w:val="24"/>
          <w:lang w:val="es-ES_tradnl"/>
        </w:rPr>
        <w:t xml:space="preserve">carretera 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Imata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la Autoridad Regional Ambiental del Gobierno Regional de Arequipa, se constituye en la zona, para supervisar la probable afectación ambiental.</w:t>
      </w:r>
    </w:p>
    <w:p w:rsidR="00B93687" w:rsidRDefault="00B93687" w:rsidP="00AB1A9F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B1A9F" w:rsidRDefault="00B93687" w:rsidP="00AB1A9F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trabajo estará a cargo de los </w:t>
      </w:r>
      <w:r w:rsidR="00AB1A9F">
        <w:rPr>
          <w:rFonts w:ascii="Arial" w:hAnsi="Arial" w:cs="Arial"/>
          <w:sz w:val="24"/>
          <w:szCs w:val="24"/>
          <w:lang w:val="es-ES_tradnl"/>
        </w:rPr>
        <w:t xml:space="preserve">subgerentes de Calidad Ambiental y Recursos Naturales y Forestal, </w:t>
      </w:r>
      <w:r>
        <w:rPr>
          <w:rFonts w:ascii="Arial" w:hAnsi="Arial" w:cs="Arial"/>
          <w:sz w:val="24"/>
          <w:szCs w:val="24"/>
          <w:lang w:val="es-ES_tradnl"/>
        </w:rPr>
        <w:t xml:space="preserve">por disposición del gerente Dr. Zacarías Madariaga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Coaquira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comitiva a la que sumará el responsable de la Dirección Ambiental de la Gerencia Regional de Salud.</w:t>
      </w:r>
    </w:p>
    <w:p w:rsidR="00B93687" w:rsidRDefault="00B93687" w:rsidP="00AB1A9F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93687" w:rsidRDefault="00D26B76" w:rsidP="00AB1A9F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Por  ser de su competencia, especialistas de la Oficina Desconcentrada de Arequipa del Organismo de Evaluación y Fiscalización Ambiental (OEFA), toman las muestras del material pertinente para determinar las acciones a tomar según la normatividad competente.</w:t>
      </w:r>
    </w:p>
    <w:p w:rsidR="00D26B76" w:rsidRDefault="00D26B76" w:rsidP="00AB1A9F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26B76" w:rsidRDefault="00D26B76" w:rsidP="00AB1A9F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Autoridad Regional Ambiental del GRA, se mantiene en permanente alerta y  coordinaciones con diversas instituciones que velan por la conservación de los ecosistemas y la biodiversidad del ámbito regional.</w:t>
      </w:r>
    </w:p>
    <w:p w:rsidR="00AB1A9F" w:rsidRDefault="00AB1A9F" w:rsidP="00AB1A9F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B1A9F" w:rsidRDefault="00AB1A9F" w:rsidP="00AB1A9F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26B76" w:rsidRDefault="00D26B76" w:rsidP="00AB1A9F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B1A9F" w:rsidRDefault="00D26B76" w:rsidP="00AB1A9F">
      <w:pPr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 xml:space="preserve">Arequipa, viernes 15 </w:t>
      </w:r>
      <w:r w:rsidR="00AB1A9F"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>de enero de 2016</w:t>
      </w:r>
      <w:r w:rsidR="00AB1A9F"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</w:p>
    <w:p w:rsidR="00AB1A9F" w:rsidRDefault="00AB1A9F" w:rsidP="00AB1A9F">
      <w:pPr>
        <w:jc w:val="right"/>
        <w:rPr>
          <w:rFonts w:ascii="Arial" w:hAnsi="Arial" w:cs="Arial"/>
          <w:sz w:val="24"/>
          <w:szCs w:val="24"/>
          <w:lang w:val="es-ES_tradnl"/>
        </w:rPr>
      </w:pP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                                                  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C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on el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r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uego de su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d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>ifusión</w:t>
      </w:r>
    </w:p>
    <w:p w:rsidR="00AB1A9F" w:rsidRDefault="00AB1A9F" w:rsidP="00AB1A9F"/>
    <w:p w:rsidR="00AB1A9F" w:rsidRDefault="00AB1A9F" w:rsidP="00AB1A9F"/>
    <w:p w:rsidR="00AB1A9F" w:rsidRDefault="00AB1A9F" w:rsidP="00AB1A9F"/>
    <w:p w:rsidR="00AB1A9F" w:rsidRDefault="00AB1A9F" w:rsidP="00AB1A9F"/>
    <w:p w:rsidR="00AB1A9F" w:rsidRDefault="00AB1A9F" w:rsidP="00AB1A9F"/>
    <w:p w:rsidR="00AB1A9F" w:rsidRDefault="00AB1A9F" w:rsidP="00AB1A9F"/>
    <w:p w:rsidR="00AB1A9F" w:rsidRDefault="00AB1A9F" w:rsidP="00AB1A9F"/>
    <w:p w:rsidR="00AB1A9F" w:rsidRDefault="00AB1A9F" w:rsidP="00AB1A9F"/>
    <w:p w:rsidR="008D7C19" w:rsidRDefault="008D7C19"/>
    <w:sectPr w:rsidR="008D7C19" w:rsidSect="00C20617">
      <w:footerReference w:type="default" r:id="rId8"/>
      <w:pgSz w:w="11906" w:h="16838"/>
      <w:pgMar w:top="284" w:right="1274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9D" w:rsidRDefault="008C049D">
      <w:pPr>
        <w:spacing w:after="0" w:line="240" w:lineRule="auto"/>
      </w:pPr>
      <w:r>
        <w:separator/>
      </w:r>
    </w:p>
  </w:endnote>
  <w:endnote w:type="continuationSeparator" w:id="0">
    <w:p w:rsidR="008C049D" w:rsidRDefault="008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17" w:rsidRDefault="00AD7B37" w:rsidP="00C20617">
    <w:pPr>
      <w:pStyle w:val="Piedepgina"/>
      <w:spacing w:after="0" w:line="240" w:lineRule="auto"/>
      <w:jc w:val="center"/>
      <w:rPr>
        <w:rFonts w:ascii="Arial Narrow" w:hAnsi="Arial Narrow"/>
        <w:sz w:val="20"/>
        <w:szCs w:val="20"/>
        <w:lang w:val="es-MX"/>
      </w:rPr>
    </w:pPr>
    <w:r>
      <w:rPr>
        <w:rFonts w:ascii="Arial Narrow" w:hAnsi="Arial Narrow"/>
        <w:sz w:val="20"/>
        <w:szCs w:val="20"/>
        <w:lang w:val="es-MX"/>
      </w:rPr>
      <w:t>Autoridad Regional Ambiental – Área de Educación Ambiental – 607786 -  284838 Contactos:</w:t>
    </w:r>
  </w:p>
  <w:p w:rsidR="00C20617" w:rsidRPr="00634C44" w:rsidRDefault="008C049D" w:rsidP="00C20617">
    <w:pPr>
      <w:pStyle w:val="Piedepgina"/>
      <w:spacing w:after="0" w:line="240" w:lineRule="auto"/>
      <w:jc w:val="center"/>
      <w:rPr>
        <w:rFonts w:ascii="Arial Narrow" w:hAnsi="Arial Narrow"/>
        <w:color w:val="0000FF"/>
        <w:sz w:val="20"/>
        <w:szCs w:val="20"/>
        <w:lang w:val="es-MX"/>
      </w:rPr>
    </w:pPr>
    <w:hyperlink r:id="rId1" w:history="1">
      <w:r w:rsidR="00AD7B37" w:rsidRPr="00634C44">
        <w:rPr>
          <w:rStyle w:val="Hipervnculo"/>
          <w:rFonts w:ascii="Arial Narrow" w:hAnsi="Arial Narrow"/>
          <w:sz w:val="20"/>
          <w:szCs w:val="20"/>
          <w:lang w:val="es-MX"/>
        </w:rPr>
        <w:t>scportocarrerol@yahoo.</w:t>
      </w:r>
    </w:hyperlink>
    <w:proofErr w:type="gramStart"/>
    <w:r w:rsidR="00AD7B37" w:rsidRPr="00634C44">
      <w:rPr>
        <w:rFonts w:ascii="Arial Narrow" w:hAnsi="Arial Narrow"/>
        <w:color w:val="0000FF"/>
        <w:sz w:val="20"/>
        <w:szCs w:val="20"/>
        <w:u w:val="single"/>
        <w:lang w:val="es-MX"/>
      </w:rPr>
      <w:t>es</w:t>
    </w:r>
    <w:proofErr w:type="gramEnd"/>
    <w:r w:rsidR="00AD7B37">
      <w:rPr>
        <w:rFonts w:ascii="Arial Narrow" w:hAnsi="Arial Narrow"/>
        <w:color w:val="0000FF"/>
        <w:sz w:val="20"/>
        <w:szCs w:val="20"/>
        <w:u w:val="single"/>
        <w:lang w:val="es-MX"/>
      </w:rPr>
      <w:t>,</w:t>
    </w:r>
    <w:r w:rsidR="00AD7B37" w:rsidRPr="00634C44">
      <w:rPr>
        <w:rFonts w:ascii="Arial Narrow" w:hAnsi="Arial Narrow"/>
        <w:color w:val="0000FF"/>
        <w:sz w:val="20"/>
        <w:szCs w:val="20"/>
        <w:lang w:val="es-MX"/>
      </w:rPr>
      <w:t xml:space="preserve"> </w:t>
    </w:r>
  </w:p>
  <w:p w:rsidR="00C20617" w:rsidRPr="00C830E2" w:rsidRDefault="008C049D" w:rsidP="00C20617">
    <w:pPr>
      <w:pStyle w:val="Piedepgina"/>
      <w:spacing w:after="0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9D" w:rsidRDefault="008C049D">
      <w:pPr>
        <w:spacing w:after="0" w:line="240" w:lineRule="auto"/>
      </w:pPr>
      <w:r>
        <w:separator/>
      </w:r>
    </w:p>
  </w:footnote>
  <w:footnote w:type="continuationSeparator" w:id="0">
    <w:p w:rsidR="008C049D" w:rsidRDefault="008C0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9F"/>
    <w:rsid w:val="003672CD"/>
    <w:rsid w:val="008C049D"/>
    <w:rsid w:val="008D7C19"/>
    <w:rsid w:val="00AB1A9F"/>
    <w:rsid w:val="00AD7B37"/>
    <w:rsid w:val="00B93687"/>
    <w:rsid w:val="00D2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9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B1A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A9F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AB1A9F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AB1A9F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AB1A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9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B1A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A9F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AB1A9F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AB1A9F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AB1A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ortocarrerol@yahoo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Luffi</cp:lastModifiedBy>
  <cp:revision>2</cp:revision>
  <dcterms:created xsi:type="dcterms:W3CDTF">2016-01-19T15:48:00Z</dcterms:created>
  <dcterms:modified xsi:type="dcterms:W3CDTF">2016-01-19T15:48:00Z</dcterms:modified>
</cp:coreProperties>
</file>