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54" w:rsidRDefault="009C6454" w:rsidP="009C6454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3900025" wp14:editId="76627131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sz w:val="18"/>
          <w:szCs w:val="18"/>
        </w:rPr>
        <w:t xml:space="preserve"> </w:t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</w:p>
    <w:p w:rsidR="009C6454" w:rsidRDefault="009C6454" w:rsidP="009C6454">
      <w:pPr>
        <w:rPr>
          <w:rFonts w:ascii="Bookman Old Style" w:hAnsi="Bookman Old Style"/>
          <w:b/>
          <w:sz w:val="18"/>
          <w:szCs w:val="18"/>
        </w:rPr>
      </w:pPr>
    </w:p>
    <w:p w:rsidR="009C6454" w:rsidRDefault="009C6454" w:rsidP="009C645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</w:t>
      </w:r>
    </w:p>
    <w:p w:rsidR="009C6454" w:rsidRDefault="009C6454" w:rsidP="009C645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</w:t>
      </w:r>
    </w:p>
    <w:p w:rsidR="009C6454" w:rsidRDefault="009C6454" w:rsidP="009C645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</w:t>
      </w:r>
    </w:p>
    <w:p w:rsidR="009C6454" w:rsidRPr="00C074CC" w:rsidRDefault="009C6454" w:rsidP="009C645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</w:t>
      </w:r>
      <w:r w:rsidRPr="00C074CC">
        <w:rPr>
          <w:rFonts w:ascii="Bookman Old Style" w:hAnsi="Bookman Old Style"/>
          <w:b/>
          <w:sz w:val="18"/>
          <w:szCs w:val="18"/>
        </w:rPr>
        <w:t>GOBIERNO REGIONAL AREQUIPA</w:t>
      </w:r>
    </w:p>
    <w:p w:rsidR="009C6454" w:rsidRPr="00C074CC" w:rsidRDefault="009C6454" w:rsidP="009C6454">
      <w:pPr>
        <w:jc w:val="center"/>
        <w:rPr>
          <w:rFonts w:ascii="Bookman Old Style" w:hAnsi="Bookman Old Style"/>
          <w:b/>
          <w:noProof/>
          <w:sz w:val="18"/>
          <w:szCs w:val="18"/>
        </w:rPr>
      </w:pPr>
      <w:r w:rsidRPr="00C074CC">
        <w:rPr>
          <w:rFonts w:ascii="Bookman Old Style" w:hAnsi="Bookman Old Style"/>
          <w:b/>
          <w:sz w:val="18"/>
          <w:szCs w:val="18"/>
        </w:rPr>
        <w:t>AUTORIDAD REGIONAL AMBIENTAL</w:t>
      </w:r>
    </w:p>
    <w:p w:rsidR="009C6454" w:rsidRPr="0029201E" w:rsidRDefault="009C6454" w:rsidP="009C6454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9C6454" w:rsidRPr="0029201E" w:rsidRDefault="009C6454" w:rsidP="009C6454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9C6454" w:rsidRPr="00C61196" w:rsidRDefault="009C6454" w:rsidP="009C6454">
      <w:pPr>
        <w:jc w:val="center"/>
        <w:rPr>
          <w:rFonts w:ascii="Bookman Old Style" w:hAnsi="Bookman Old Style" w:cs="Calibri"/>
          <w:b/>
          <w:i/>
          <w:color w:val="000000"/>
          <w:sz w:val="18"/>
          <w:szCs w:val="18"/>
          <w:lang w:eastAsia="es-PE"/>
        </w:rPr>
      </w:pPr>
    </w:p>
    <w:p w:rsidR="009C6454" w:rsidRPr="00D65CDC" w:rsidRDefault="009C6454" w:rsidP="009C6454">
      <w:pPr>
        <w:jc w:val="center"/>
        <w:rPr>
          <w:rFonts w:ascii="Arial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Nota de Prensa Nº  02</w:t>
      </w: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4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- 201</w:t>
      </w:r>
      <w:r>
        <w:rPr>
          <w:rFonts w:ascii="Arial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9C6454" w:rsidRDefault="009C6454" w:rsidP="009C6454">
      <w:pPr>
        <w:jc w:val="both"/>
        <w:rPr>
          <w:rFonts w:ascii="Agency FB" w:hAnsi="Agency FB" w:cs="Arial"/>
          <w:b/>
          <w:color w:val="000000"/>
          <w:sz w:val="28"/>
          <w:szCs w:val="28"/>
          <w:lang w:eastAsia="es-PE"/>
        </w:rPr>
      </w:pP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 </w:t>
      </w:r>
      <w:r w:rsidRPr="003711F8"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</w:t>
      </w:r>
    </w:p>
    <w:p w:rsidR="009C6454" w:rsidRPr="003711F8" w:rsidRDefault="009C6454" w:rsidP="009C6454">
      <w:pPr>
        <w:jc w:val="both"/>
        <w:rPr>
          <w:rFonts w:ascii="Agency FB" w:hAnsi="Agency FB" w:cs="Arial"/>
          <w:color w:val="000000"/>
          <w:sz w:val="28"/>
          <w:szCs w:val="28"/>
          <w:lang w:eastAsia="es-PE"/>
        </w:rPr>
      </w:pPr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Al iniciar capacitación sobre Enfoque Ambiental en </w:t>
      </w:r>
      <w:proofErr w:type="spellStart"/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>Currícula</w:t>
      </w:r>
      <w:proofErr w:type="spellEnd"/>
      <w:r>
        <w:rPr>
          <w:rFonts w:ascii="Agency FB" w:hAnsi="Agency FB" w:cs="Arial"/>
          <w:b/>
          <w:color w:val="000000"/>
          <w:sz w:val="28"/>
          <w:szCs w:val="28"/>
          <w:lang w:eastAsia="es-PE"/>
        </w:rPr>
        <w:t xml:space="preserve"> Escolar</w:t>
      </w:r>
    </w:p>
    <w:p w:rsidR="009C6454" w:rsidRPr="00B439B9" w:rsidRDefault="009C6454" w:rsidP="009C6454">
      <w:pPr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Educadores</w:t>
      </w:r>
      <w:r w:rsidR="00867D2C">
        <w:rPr>
          <w:rFonts w:ascii="Impact" w:hAnsi="Impact" w:cs="Arial"/>
          <w:sz w:val="30"/>
          <w:szCs w:val="30"/>
          <w:lang w:val="es-ES_tradnl"/>
        </w:rPr>
        <w:t xml:space="preserve"> tienen la obligación </w:t>
      </w:r>
      <w:r>
        <w:rPr>
          <w:rFonts w:ascii="Impact" w:hAnsi="Impact" w:cs="Arial"/>
          <w:sz w:val="30"/>
          <w:szCs w:val="30"/>
          <w:lang w:val="es-ES_tradnl"/>
        </w:rPr>
        <w:t>de formar</w:t>
      </w:r>
      <w:r>
        <w:rPr>
          <w:rFonts w:ascii="Impact" w:hAnsi="Impact" w:cs="Arial"/>
          <w:sz w:val="30"/>
          <w:szCs w:val="30"/>
          <w:lang w:val="es-ES_tradnl"/>
        </w:rPr>
        <w:t xml:space="preserve"> ciudadanos</w:t>
      </w:r>
      <w:r w:rsidR="00867D2C">
        <w:rPr>
          <w:rFonts w:ascii="Impact" w:hAnsi="Impact" w:cs="Arial"/>
          <w:sz w:val="30"/>
          <w:szCs w:val="30"/>
          <w:lang w:val="es-ES_tradnl"/>
        </w:rPr>
        <w:t xml:space="preserve"> responsables</w:t>
      </w:r>
      <w:r>
        <w:rPr>
          <w:rFonts w:ascii="Impact" w:hAnsi="Impact" w:cs="Arial"/>
          <w:sz w:val="30"/>
          <w:szCs w:val="30"/>
          <w:lang w:val="es-ES_tradnl"/>
        </w:rPr>
        <w:t xml:space="preserve"> con el ambiente</w:t>
      </w:r>
    </w:p>
    <w:p w:rsidR="009C6454" w:rsidRPr="004C30AD" w:rsidRDefault="009C6454" w:rsidP="009C6454">
      <w:pPr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  <w:lang w:val="es-ES_tradnl"/>
        </w:rPr>
        <w:t>Enfatizó Zacarías Madariaga gerente de la Autoridad Regional Ambiental</w:t>
      </w:r>
    </w:p>
    <w:p w:rsidR="009C6454" w:rsidRDefault="009C6454" w:rsidP="009C6454">
      <w:pPr>
        <w:jc w:val="both"/>
        <w:rPr>
          <w:rFonts w:ascii="Arial" w:hAnsi="Arial" w:cs="Arial"/>
        </w:rPr>
      </w:pPr>
    </w:p>
    <w:p w:rsidR="00867D2C" w:rsidRDefault="009C6454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“Educadores y padres de familia tienen la</w:t>
      </w:r>
      <w:r w:rsidR="00867D2C">
        <w:rPr>
          <w:rFonts w:ascii="Arial" w:hAnsi="Arial" w:cs="Arial"/>
        </w:rPr>
        <w:t xml:space="preserve"> obligación</w:t>
      </w:r>
      <w:r>
        <w:rPr>
          <w:rFonts w:ascii="Arial" w:hAnsi="Arial" w:cs="Arial"/>
        </w:rPr>
        <w:t xml:space="preserve"> de formar ciudadanos </w:t>
      </w:r>
      <w:r w:rsidR="00867D2C">
        <w:rPr>
          <w:rFonts w:ascii="Arial" w:hAnsi="Arial" w:cs="Arial"/>
        </w:rPr>
        <w:t>y ciudadanas responsables con el ambiente, que valoren toda forma de vida y de diversidad cultu</w:t>
      </w:r>
      <w:r w:rsidR="00D53571">
        <w:rPr>
          <w:rFonts w:ascii="Arial" w:hAnsi="Arial" w:cs="Arial"/>
        </w:rPr>
        <w:t>ral y biológica</w:t>
      </w:r>
      <w:r w:rsidR="00867D2C">
        <w:rPr>
          <w:rFonts w:ascii="Arial" w:hAnsi="Arial" w:cs="Arial"/>
        </w:rPr>
        <w:t>” enfatiz</w:t>
      </w:r>
      <w:bookmarkStart w:id="0" w:name="_GoBack"/>
      <w:bookmarkEnd w:id="0"/>
      <w:r w:rsidR="00867D2C">
        <w:rPr>
          <w:rFonts w:ascii="Arial" w:hAnsi="Arial" w:cs="Arial"/>
        </w:rPr>
        <w:t>ó e</w:t>
      </w:r>
      <w:r>
        <w:rPr>
          <w:rFonts w:ascii="Arial" w:hAnsi="Arial" w:cs="Arial"/>
        </w:rPr>
        <w:t xml:space="preserve">l gerente de la Autoridad Regional Ambiental del Gobierno Regional de Arequipa, Dr. Zacarías Madariaga </w:t>
      </w:r>
      <w:proofErr w:type="spellStart"/>
      <w:r>
        <w:rPr>
          <w:rFonts w:ascii="Arial" w:hAnsi="Arial" w:cs="Arial"/>
        </w:rPr>
        <w:t>Coa</w:t>
      </w:r>
      <w:r w:rsidR="00867D2C">
        <w:rPr>
          <w:rFonts w:ascii="Arial" w:hAnsi="Arial" w:cs="Arial"/>
        </w:rPr>
        <w:t>quira</w:t>
      </w:r>
      <w:proofErr w:type="spellEnd"/>
      <w:r w:rsidR="00867D2C">
        <w:rPr>
          <w:rFonts w:ascii="Arial" w:hAnsi="Arial" w:cs="Arial"/>
        </w:rPr>
        <w:t xml:space="preserve">, </w:t>
      </w:r>
    </w:p>
    <w:p w:rsidR="00867D2C" w:rsidRDefault="00867D2C" w:rsidP="009C6454">
      <w:pPr>
        <w:jc w:val="both"/>
        <w:rPr>
          <w:rFonts w:ascii="Arial" w:hAnsi="Arial" w:cs="Arial"/>
        </w:rPr>
      </w:pPr>
    </w:p>
    <w:p w:rsidR="00D53571" w:rsidRDefault="00D53571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 </w:t>
      </w:r>
      <w:r w:rsidR="00867D2C">
        <w:rPr>
          <w:rFonts w:ascii="Arial" w:hAnsi="Arial" w:cs="Arial"/>
        </w:rPr>
        <w:t xml:space="preserve">tras inaugurar </w:t>
      </w:r>
      <w:r>
        <w:rPr>
          <w:rFonts w:ascii="Arial" w:hAnsi="Arial" w:cs="Arial"/>
        </w:rPr>
        <w:t xml:space="preserve">la mañana del 30 de mayo del presente, </w:t>
      </w:r>
      <w:r w:rsidR="00867D2C">
        <w:rPr>
          <w:rFonts w:ascii="Arial" w:hAnsi="Arial" w:cs="Arial"/>
        </w:rPr>
        <w:t>el taller sobre Implementación del Enfoque Ambi</w:t>
      </w:r>
      <w:r>
        <w:rPr>
          <w:rFonts w:ascii="Arial" w:hAnsi="Arial" w:cs="Arial"/>
        </w:rPr>
        <w:t xml:space="preserve">ental en la </w:t>
      </w:r>
      <w:proofErr w:type="spellStart"/>
      <w:r>
        <w:rPr>
          <w:rFonts w:ascii="Arial" w:hAnsi="Arial" w:cs="Arial"/>
        </w:rPr>
        <w:t>Currícula</w:t>
      </w:r>
      <w:proofErr w:type="spellEnd"/>
      <w:r>
        <w:rPr>
          <w:rFonts w:ascii="Arial" w:hAnsi="Arial" w:cs="Arial"/>
        </w:rPr>
        <w:t xml:space="preserve"> Educativa, que se realizó en el auditorio de la Gerencia Regional de Educación, dirigido a responsables de las diez (10) Unidades de Gestión Local de la región Arequipa.</w:t>
      </w:r>
    </w:p>
    <w:p w:rsidR="00D53571" w:rsidRDefault="00D53571" w:rsidP="009C6454">
      <w:pPr>
        <w:jc w:val="both"/>
        <w:rPr>
          <w:rFonts w:ascii="Arial" w:hAnsi="Arial" w:cs="Arial"/>
        </w:rPr>
      </w:pPr>
    </w:p>
    <w:p w:rsidR="009C6454" w:rsidRDefault="00D53571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“Asumir la trans</w:t>
      </w:r>
      <w:r w:rsidR="008E084F">
        <w:rPr>
          <w:rFonts w:ascii="Arial" w:hAnsi="Arial" w:cs="Arial"/>
        </w:rPr>
        <w:t>versalidad del Enfoque Ambiental</w:t>
      </w:r>
      <w:r>
        <w:rPr>
          <w:rFonts w:ascii="Arial" w:hAnsi="Arial" w:cs="Arial"/>
        </w:rPr>
        <w:t xml:space="preserve">, implica el desarrollo de la conciencia crítica frente a la problemática, promoviendo la conservación y aprovechamiento sostenible de los recursos naturales, la valoración de la diversidad biológica y de los servicios </w:t>
      </w:r>
      <w:proofErr w:type="spellStart"/>
      <w:r>
        <w:rPr>
          <w:rFonts w:ascii="Arial" w:hAnsi="Arial" w:cs="Arial"/>
        </w:rPr>
        <w:t>ecosistémicos</w:t>
      </w:r>
      <w:proofErr w:type="spellEnd"/>
      <w:r>
        <w:rPr>
          <w:rFonts w:ascii="Arial" w:hAnsi="Arial" w:cs="Arial"/>
        </w:rPr>
        <w:t>, patrones de consumo y producción responsables con el ambiente”.</w:t>
      </w:r>
    </w:p>
    <w:p w:rsidR="00D53571" w:rsidRDefault="00D53571" w:rsidP="009C6454">
      <w:pPr>
        <w:jc w:val="both"/>
        <w:rPr>
          <w:rFonts w:ascii="Arial" w:hAnsi="Arial" w:cs="Arial"/>
        </w:rPr>
      </w:pPr>
    </w:p>
    <w:p w:rsidR="00D53571" w:rsidRDefault="00D53571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“demanda estilos de vida saludable, la innovación, investigación y desarrollo de conocimientos sobre la realidad ambiental, así como el fortalecimiento del ejercicio de que ciudadanía con conciencia ambiental para el desarrollo sostenible y con la capacidad de adaptación al cambio climático”; agregó.</w:t>
      </w:r>
    </w:p>
    <w:p w:rsidR="00867D2C" w:rsidRDefault="00867D2C" w:rsidP="009C6454">
      <w:pPr>
        <w:jc w:val="both"/>
        <w:rPr>
          <w:rFonts w:ascii="Arial" w:hAnsi="Arial" w:cs="Arial"/>
        </w:rPr>
      </w:pPr>
    </w:p>
    <w:p w:rsidR="00867D2C" w:rsidRDefault="008E084F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Finalizó, precisando que las instituciones educativas deben promover la sensibilización y educación sobre la condición de cambio climático, mediante acciones desde el aula y fuera de ella, orientadas a la generación de una cultura de adaptación y mitigación.</w:t>
      </w:r>
    </w:p>
    <w:p w:rsidR="008E084F" w:rsidRDefault="008E084F" w:rsidP="009C6454">
      <w:pPr>
        <w:jc w:val="both"/>
        <w:rPr>
          <w:rFonts w:ascii="Arial" w:hAnsi="Arial" w:cs="Arial"/>
        </w:rPr>
      </w:pPr>
    </w:p>
    <w:p w:rsidR="008E084F" w:rsidRDefault="008E084F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Tales actividades deberán desarrollarse sobre la base de la Estrategia Nacional ante el Cambio Climático, aprobada mediante Decreto Supremo N° 011-2015- MINAN, y las respectivas estrategias dispuestas por el Gobierno Regional de Arequipa y de las Municipalidades.</w:t>
      </w:r>
    </w:p>
    <w:p w:rsidR="008E084F" w:rsidRDefault="008E084F" w:rsidP="009C6454">
      <w:pPr>
        <w:jc w:val="both"/>
        <w:rPr>
          <w:rFonts w:ascii="Arial" w:hAnsi="Arial" w:cs="Arial"/>
        </w:rPr>
      </w:pPr>
    </w:p>
    <w:p w:rsidR="008E084F" w:rsidRDefault="008E084F" w:rsidP="009C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informar que este martes 31 de mayo el mismo taller será dirigido a profesores especiales con el tema, de las instituciones educativas focalizadas. </w:t>
      </w:r>
      <w:r>
        <w:rPr>
          <w:rFonts w:ascii="Arial" w:hAnsi="Arial" w:cs="Arial"/>
        </w:rPr>
        <w:t>En cumplimiento de la R.M. N° 572-2015-MINEDU que aprueba las Normas y Orientaciones para el Desarrollo Escolar 2016 en Instituciones Educativas y Programas de Educación Básica.</w:t>
      </w:r>
    </w:p>
    <w:p w:rsidR="008E084F" w:rsidRDefault="008E084F" w:rsidP="009C6454">
      <w:pPr>
        <w:jc w:val="both"/>
        <w:rPr>
          <w:rFonts w:ascii="Arial" w:hAnsi="Arial" w:cs="Arial"/>
        </w:rPr>
      </w:pPr>
    </w:p>
    <w:p w:rsidR="009C6454" w:rsidRDefault="009C6454" w:rsidP="009C6454">
      <w:pPr>
        <w:jc w:val="both"/>
        <w:rPr>
          <w:rFonts w:ascii="Arial" w:hAnsi="Arial" w:cs="Arial"/>
          <w:b/>
          <w:i/>
          <w:color w:val="000000"/>
          <w:lang w:eastAsia="es-PE"/>
        </w:rPr>
      </w:pPr>
      <w:r>
        <w:rPr>
          <w:rFonts w:ascii="Arial" w:hAnsi="Arial" w:cs="Arial"/>
          <w:b/>
          <w:i/>
          <w:color w:val="000000"/>
          <w:lang w:eastAsia="es-PE"/>
        </w:rPr>
        <w:t xml:space="preserve">                          </w:t>
      </w:r>
      <w:r>
        <w:rPr>
          <w:rFonts w:ascii="Arial" w:hAnsi="Arial" w:cs="Arial"/>
          <w:b/>
          <w:i/>
          <w:color w:val="000000"/>
          <w:lang w:eastAsia="es-PE"/>
        </w:rPr>
        <w:t xml:space="preserve">            Arequipa, lunes 30 </w:t>
      </w:r>
      <w:r>
        <w:rPr>
          <w:rFonts w:ascii="Arial" w:hAnsi="Arial" w:cs="Arial"/>
          <w:b/>
          <w:i/>
          <w:color w:val="000000"/>
          <w:lang w:eastAsia="es-PE"/>
        </w:rPr>
        <w:t>de mayo del 2016</w:t>
      </w:r>
    </w:p>
    <w:p w:rsidR="009C6454" w:rsidRDefault="009C6454" w:rsidP="009C6454">
      <w:pPr>
        <w:jc w:val="both"/>
        <w:rPr>
          <w:rFonts w:ascii="Arial" w:hAnsi="Arial" w:cs="Arial"/>
          <w:b/>
          <w:i/>
          <w:color w:val="000000"/>
          <w:lang w:eastAsia="es-PE"/>
        </w:rPr>
      </w:pPr>
    </w:p>
    <w:p w:rsidR="009C6454" w:rsidRDefault="009C6454" w:rsidP="009C6454">
      <w:pPr>
        <w:jc w:val="right"/>
      </w:pPr>
      <w:r>
        <w:rPr>
          <w:rFonts w:ascii="Arial" w:hAnsi="Arial" w:cs="Arial"/>
          <w:b/>
          <w:i/>
          <w:color w:val="000000"/>
          <w:lang w:eastAsia="es-PE"/>
        </w:rPr>
        <w:t>Con el ruego de su difusión</w:t>
      </w:r>
    </w:p>
    <w:p w:rsidR="009C6454" w:rsidRDefault="009C6454" w:rsidP="009C6454"/>
    <w:p w:rsidR="00382278" w:rsidRDefault="00382278"/>
    <w:sectPr w:rsidR="00382278" w:rsidSect="0093350C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4"/>
    <w:rsid w:val="0033301B"/>
    <w:rsid w:val="00382278"/>
    <w:rsid w:val="00867D2C"/>
    <w:rsid w:val="008E084F"/>
    <w:rsid w:val="009C6454"/>
    <w:rsid w:val="00D53571"/>
    <w:rsid w:val="00D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272F1-F88C-4F38-9A71-9D0ED02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C6454"/>
    <w:pPr>
      <w:numPr>
        <w:ilvl w:val="1"/>
      </w:numPr>
    </w:pPr>
    <w:rPr>
      <w:rFonts w:ascii="Cambria" w:hAnsi="Cambria"/>
      <w:i/>
      <w:iCs/>
      <w:color w:val="4F81BD"/>
      <w:spacing w:val="15"/>
      <w:lang w:val="es-PE"/>
    </w:rPr>
  </w:style>
  <w:style w:type="character" w:customStyle="1" w:styleId="SubttuloCar">
    <w:name w:val="Subtítulo Car"/>
    <w:basedOn w:val="Fuentedeprrafopredeter"/>
    <w:link w:val="Subttulo"/>
    <w:uiPriority w:val="11"/>
    <w:rsid w:val="009C64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2016-05-30T20:22:00Z</dcterms:created>
  <dcterms:modified xsi:type="dcterms:W3CDTF">2016-05-30T20:22:00Z</dcterms:modified>
</cp:coreProperties>
</file>